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3A" w:rsidRPr="00C420F4" w:rsidRDefault="00A4643A" w:rsidP="00B668A0">
      <w:pPr>
        <w:rPr>
          <w:bCs/>
          <w:sz w:val="28"/>
          <w:szCs w:val="28"/>
        </w:rPr>
      </w:pPr>
      <w:r w:rsidRPr="00B668A0">
        <w:rPr>
          <w:b/>
          <w:bCs/>
          <w:sz w:val="28"/>
          <w:szCs w:val="28"/>
          <w:u w:val="single"/>
        </w:rPr>
        <w:t>2</w:t>
      </w:r>
      <w:r w:rsidRPr="00A4643A">
        <w:rPr>
          <w:b/>
          <w:bCs/>
          <w:sz w:val="28"/>
          <w:szCs w:val="28"/>
          <w:u w:val="single"/>
          <w:lang w:val="en-US"/>
        </w:rPr>
        <w:t>o</w:t>
      </w:r>
      <w:r w:rsidRPr="00B668A0">
        <w:rPr>
          <w:b/>
          <w:bCs/>
          <w:sz w:val="28"/>
          <w:szCs w:val="28"/>
          <w:u w:val="single"/>
        </w:rPr>
        <w:t xml:space="preserve"> </w:t>
      </w:r>
      <w:r w:rsidRPr="00A4643A">
        <w:rPr>
          <w:b/>
          <w:bCs/>
          <w:sz w:val="28"/>
          <w:szCs w:val="28"/>
          <w:u w:val="single"/>
        </w:rPr>
        <w:t>ΕΠΑ.Λ. ΑΛΕΞ/ΠΟΛΗΣ</w:t>
      </w:r>
      <w:r w:rsidR="00B668A0" w:rsidRPr="00B668A0">
        <w:rPr>
          <w:bCs/>
          <w:sz w:val="28"/>
          <w:szCs w:val="28"/>
        </w:rPr>
        <w:tab/>
      </w:r>
      <w:r w:rsidR="00B668A0" w:rsidRPr="00B668A0">
        <w:rPr>
          <w:bCs/>
          <w:sz w:val="28"/>
          <w:szCs w:val="28"/>
        </w:rPr>
        <w:tab/>
      </w:r>
      <w:r w:rsidR="00B668A0" w:rsidRPr="00B668A0">
        <w:rPr>
          <w:bCs/>
          <w:sz w:val="28"/>
          <w:szCs w:val="28"/>
        </w:rPr>
        <w:tab/>
      </w:r>
      <w:r w:rsidR="00B668A0">
        <w:rPr>
          <w:bCs/>
          <w:sz w:val="28"/>
          <w:szCs w:val="28"/>
        </w:rPr>
        <w:t xml:space="preserve"> </w:t>
      </w:r>
      <w:r w:rsidR="00E46520">
        <w:rPr>
          <w:bCs/>
          <w:sz w:val="28"/>
          <w:szCs w:val="28"/>
        </w:rPr>
        <w:t xml:space="preserve">Αλεξανδρούπολη, </w:t>
      </w:r>
      <w:r w:rsidR="00A96A20" w:rsidRPr="00A96A20">
        <w:rPr>
          <w:bCs/>
          <w:sz w:val="28"/>
          <w:szCs w:val="28"/>
        </w:rPr>
        <w:t>18</w:t>
      </w:r>
      <w:r w:rsidR="00610645" w:rsidRPr="00610645">
        <w:rPr>
          <w:bCs/>
          <w:sz w:val="28"/>
          <w:szCs w:val="28"/>
        </w:rPr>
        <w:t xml:space="preserve"> </w:t>
      </w:r>
      <w:r w:rsidR="00A96A20">
        <w:rPr>
          <w:bCs/>
          <w:sz w:val="28"/>
          <w:szCs w:val="28"/>
        </w:rPr>
        <w:t>Σεπτεμ</w:t>
      </w:r>
      <w:r w:rsidR="00BE2F71">
        <w:rPr>
          <w:bCs/>
          <w:sz w:val="28"/>
          <w:szCs w:val="28"/>
        </w:rPr>
        <w:t>βρίου</w:t>
      </w:r>
      <w:r w:rsidR="00E46520">
        <w:rPr>
          <w:bCs/>
          <w:sz w:val="28"/>
          <w:szCs w:val="28"/>
        </w:rPr>
        <w:t xml:space="preserve"> 201</w:t>
      </w:r>
      <w:r w:rsidR="00A96A20">
        <w:rPr>
          <w:bCs/>
          <w:sz w:val="28"/>
          <w:szCs w:val="28"/>
        </w:rPr>
        <w:t>4</w:t>
      </w:r>
    </w:p>
    <w:p w:rsidR="00A4643A" w:rsidRDefault="00A4643A" w:rsidP="00A4643A">
      <w:pPr>
        <w:rPr>
          <w:bCs/>
          <w:sz w:val="28"/>
          <w:szCs w:val="28"/>
        </w:rPr>
      </w:pPr>
      <w:r>
        <w:rPr>
          <w:bCs/>
          <w:sz w:val="28"/>
          <w:szCs w:val="28"/>
        </w:rPr>
        <w:t>Λ. Νικολαΐδη</w:t>
      </w:r>
      <w:r w:rsidR="00C420F4" w:rsidRPr="00BE2F71">
        <w:rPr>
          <w:bCs/>
          <w:sz w:val="28"/>
          <w:szCs w:val="28"/>
        </w:rPr>
        <w:t xml:space="preserve"> 11</w:t>
      </w:r>
      <w:r w:rsidR="00513F16">
        <w:rPr>
          <w:bCs/>
          <w:sz w:val="28"/>
          <w:szCs w:val="28"/>
        </w:rPr>
        <w:t>, 68100 Αλεξανδρούπολη</w:t>
      </w:r>
      <w:r>
        <w:rPr>
          <w:bCs/>
          <w:sz w:val="28"/>
          <w:szCs w:val="28"/>
        </w:rPr>
        <w:t xml:space="preserve"> </w:t>
      </w:r>
    </w:p>
    <w:p w:rsidR="00A4643A" w:rsidRPr="00896A8C" w:rsidRDefault="00E46520" w:rsidP="00896A8C">
      <w:pPr>
        <w:rPr>
          <w:bCs/>
          <w:sz w:val="28"/>
          <w:szCs w:val="28"/>
        </w:rPr>
      </w:pPr>
      <w:r>
        <w:rPr>
          <w:bCs/>
          <w:sz w:val="28"/>
          <w:szCs w:val="28"/>
        </w:rPr>
        <w:t>Τη</w:t>
      </w:r>
      <w:r w:rsidR="00610645">
        <w:rPr>
          <w:bCs/>
          <w:sz w:val="28"/>
          <w:szCs w:val="28"/>
        </w:rPr>
        <w:t>λ</w:t>
      </w:r>
      <w:r>
        <w:rPr>
          <w:bCs/>
          <w:sz w:val="28"/>
          <w:szCs w:val="28"/>
        </w:rPr>
        <w:t>έφωνα:</w:t>
      </w:r>
      <w:r w:rsidR="00A4643A">
        <w:rPr>
          <w:bCs/>
          <w:sz w:val="28"/>
          <w:szCs w:val="28"/>
        </w:rPr>
        <w:t xml:space="preserve"> 25510</w:t>
      </w:r>
      <w:r>
        <w:rPr>
          <w:bCs/>
          <w:sz w:val="28"/>
          <w:szCs w:val="28"/>
        </w:rPr>
        <w:t xml:space="preserve"> </w:t>
      </w:r>
      <w:r w:rsidR="00A4643A">
        <w:rPr>
          <w:bCs/>
          <w:sz w:val="28"/>
          <w:szCs w:val="28"/>
        </w:rPr>
        <w:t>26343</w:t>
      </w:r>
      <w:r>
        <w:rPr>
          <w:bCs/>
          <w:sz w:val="28"/>
          <w:szCs w:val="28"/>
        </w:rPr>
        <w:t>, 25510 26638</w:t>
      </w:r>
    </w:p>
    <w:p w:rsidR="00B7454B" w:rsidRDefault="00B7454B" w:rsidP="00B7454B">
      <w:pPr>
        <w:jc w:val="center"/>
        <w:rPr>
          <w:b/>
          <w:bCs/>
          <w:sz w:val="36"/>
          <w:szCs w:val="36"/>
          <w:u w:val="single"/>
        </w:rPr>
      </w:pPr>
      <w:r>
        <w:rPr>
          <w:b/>
          <w:bCs/>
          <w:sz w:val="36"/>
          <w:szCs w:val="36"/>
          <w:u w:val="single"/>
        </w:rPr>
        <w:t>ΕΝΗΜΕΡΩΤΙΚΟ ΣΗΜΕΙΩΜΑ</w:t>
      </w:r>
    </w:p>
    <w:p w:rsidR="00A4643A" w:rsidRPr="00C420F4" w:rsidRDefault="00A4643A" w:rsidP="00B7454B">
      <w:pPr>
        <w:jc w:val="center"/>
        <w:rPr>
          <w:b/>
          <w:bCs/>
          <w:sz w:val="20"/>
          <w:szCs w:val="20"/>
          <w:u w:val="single"/>
        </w:rPr>
      </w:pPr>
    </w:p>
    <w:p w:rsidR="00A4643A" w:rsidRDefault="00A4643A" w:rsidP="00C420F4">
      <w:pPr>
        <w:rPr>
          <w:bCs/>
        </w:rPr>
      </w:pPr>
      <w:r>
        <w:rPr>
          <w:bCs/>
        </w:rPr>
        <w:t>Αγαπητοί γονείς και κηδεμόνες,</w:t>
      </w:r>
    </w:p>
    <w:p w:rsidR="00B7454B" w:rsidRDefault="00804FEF" w:rsidP="00C420F4">
      <w:pPr>
        <w:spacing w:before="120" w:after="120"/>
        <w:ind w:firstLine="720"/>
      </w:pPr>
      <w:proofErr w:type="gramStart"/>
      <w:r>
        <w:rPr>
          <w:bCs/>
          <w:lang w:val="en-US"/>
        </w:rPr>
        <w:t>M</w:t>
      </w:r>
      <w:r w:rsidR="00A4643A">
        <w:rPr>
          <w:bCs/>
        </w:rPr>
        <w:t>ε την έναρξη της σχολικής χρονιάς, θέλουμε</w:t>
      </w:r>
      <w:r w:rsidR="00C420F4">
        <w:rPr>
          <w:bCs/>
        </w:rPr>
        <w:t>,</w:t>
      </w:r>
      <w:r w:rsidR="00A4643A">
        <w:rPr>
          <w:bCs/>
        </w:rPr>
        <w:t xml:space="preserve"> πρώτα από όλα</w:t>
      </w:r>
      <w:r w:rsidR="00C420F4">
        <w:rPr>
          <w:bCs/>
        </w:rPr>
        <w:t>,</w:t>
      </w:r>
      <w:r w:rsidR="00A4643A">
        <w:rPr>
          <w:bCs/>
        </w:rPr>
        <w:t xml:space="preserve"> να </w:t>
      </w:r>
      <w:r w:rsidR="00571B50">
        <w:rPr>
          <w:bCs/>
        </w:rPr>
        <w:t xml:space="preserve">σας </w:t>
      </w:r>
      <w:r w:rsidR="00A4643A">
        <w:rPr>
          <w:bCs/>
        </w:rPr>
        <w:t xml:space="preserve">ευχηθούμε </w:t>
      </w:r>
      <w:r w:rsidR="00C420F4">
        <w:rPr>
          <w:bCs/>
        </w:rPr>
        <w:t>κ</w:t>
      </w:r>
      <w:r w:rsidR="00A4643A">
        <w:t>αλή κα</w:t>
      </w:r>
      <w:r w:rsidR="00C420F4">
        <w:t>ι δ</w:t>
      </w:r>
      <w:r w:rsidR="00A4643A">
        <w:t xml:space="preserve">ημιουργική </w:t>
      </w:r>
      <w:r w:rsidR="00C420F4">
        <w:t>σ</w:t>
      </w:r>
      <w:r w:rsidR="00593933">
        <w:t xml:space="preserve">χολική </w:t>
      </w:r>
      <w:r w:rsidR="00C420F4">
        <w:t>χ</w:t>
      </w:r>
      <w:r w:rsidR="00A4643A">
        <w:t xml:space="preserve">ρονιά με συνέπεια και προσήλωση στους στόχους και στα σχέδια των μαθητών </w:t>
      </w:r>
      <w:r w:rsidR="00571B50">
        <w:t>μας.</w:t>
      </w:r>
      <w:proofErr w:type="gramEnd"/>
      <w:r w:rsidR="00571B50">
        <w:t xml:space="preserve"> Μια και όλοι, εκπαιδευτικοί, γονείς και κηδεμόνες πασχίζουμε καθημερινά για να προσφέρουμε την καλύτερη δυνατή εκπαίδευση στα παιδιά μας.</w:t>
      </w:r>
    </w:p>
    <w:p w:rsidR="00571B50" w:rsidRDefault="00571B50" w:rsidP="00C420F4">
      <w:pPr>
        <w:spacing w:before="120" w:after="120"/>
        <w:ind w:firstLine="720"/>
      </w:pPr>
      <w:r>
        <w:t>Στο πλαίσιο αυτό,  η ενημέρωση και η στενή συνεργασία γονέων και σχολείου κρίνεται ουσιώδης για τη συστηματική και υπεύθυνη πληροφόρηση γύρω από τη φοίτηση, την πρόοδο και την ολόπλευρη ανάπτυξη των μαθητών.</w:t>
      </w:r>
    </w:p>
    <w:p w:rsidR="00571B50" w:rsidRPr="00513F16" w:rsidRDefault="00571B50" w:rsidP="00571B50">
      <w:pPr>
        <w:rPr>
          <w:b/>
          <w:color w:val="FF0000"/>
          <w:sz w:val="28"/>
          <w:szCs w:val="28"/>
          <w:u w:val="single"/>
        </w:rPr>
      </w:pPr>
      <w:r w:rsidRPr="00513F16">
        <w:rPr>
          <w:b/>
          <w:color w:val="FF0000"/>
          <w:sz w:val="28"/>
          <w:szCs w:val="28"/>
          <w:u w:val="single"/>
        </w:rPr>
        <w:t>1. ΦΟΙΤΗΣΗ – ΠΡΟΟΔΟΣ :</w:t>
      </w:r>
    </w:p>
    <w:p w:rsidR="00C420F4" w:rsidRDefault="00B7454B" w:rsidP="00C420F4">
      <w:pPr>
        <w:ind w:firstLine="720"/>
      </w:pPr>
      <w:r>
        <w:t xml:space="preserve">Η προαγωγή και η απόλυση των μαθητών εξαρτάται από την τακτική τους φοίτηση στο σχολείο, καθώς και από την επίδοσή τους κατά τη διάρκεια του διδακτικού έτους. </w:t>
      </w:r>
      <w:r w:rsidR="00571B50">
        <w:t xml:space="preserve">Η τακτική φοίτηση των μαθητών είναι </w:t>
      </w:r>
      <w:r w:rsidR="00571B50" w:rsidRPr="00593933">
        <w:rPr>
          <w:b/>
          <w:sz w:val="26"/>
          <w:szCs w:val="26"/>
          <w:u w:val="single"/>
        </w:rPr>
        <w:t>καθήκον και ευθύνη των γονέων</w:t>
      </w:r>
      <w:r w:rsidR="00571B50" w:rsidRPr="00593933">
        <w:rPr>
          <w:b/>
          <w:sz w:val="26"/>
          <w:szCs w:val="26"/>
        </w:rPr>
        <w:t>.</w:t>
      </w:r>
      <w:r w:rsidR="00571B50">
        <w:t xml:space="preserve"> </w:t>
      </w:r>
      <w:r>
        <w:t>Οι απουσίες αριθμούνται</w:t>
      </w:r>
      <w:r w:rsidR="00EF359A">
        <w:t xml:space="preserve"> και ελέγχονται από το σχολείο,</w:t>
      </w:r>
      <w:r>
        <w:t xml:space="preserve"> ανά μία για κάθε διδακτική ώρα. Απουσία μαθητή από τις πολιτιστικές ή αθλητικές εκδηλώσεις ή</w:t>
      </w:r>
      <w:r w:rsidR="003A29D4">
        <w:t xml:space="preserve"> από περίπατο, που πραγματοποιείται στο πλαίσιο</w:t>
      </w:r>
      <w:r>
        <w:t xml:space="preserve"> του </w:t>
      </w:r>
      <w:r w:rsidR="00C420F4">
        <w:t>ωρολογίου</w:t>
      </w:r>
      <w:r>
        <w:t xml:space="preserve"> προγράμματος του ΕΠΑ.Λ.</w:t>
      </w:r>
      <w:r w:rsidR="003A29D4">
        <w:t>,</w:t>
      </w:r>
      <w:r>
        <w:t xml:space="preserve"> λογίζεται ως απουσία από τα διδασκόμενα μαθήματα για ισάριθμες διδακτικές ώρες. Εξαίρεση επιτρέπεται στις περιπτώσεις που κατά την κρίση του Διευθυντή η συμμετοχή του μαθητή στις ανωτέρω εκδηλώσεις καθίσταται εκ των πραγμάτων αδύνατη. </w:t>
      </w:r>
    </w:p>
    <w:p w:rsidR="00B7454B" w:rsidRDefault="00B7454B" w:rsidP="00C420F4">
      <w:pPr>
        <w:ind w:firstLine="720"/>
      </w:pPr>
      <w:r>
        <w:t xml:space="preserve">Η τακτική φοίτηση ή απουσία των μαθητών κατά τις ώρες λειτουργίας του σχολείου αποτελούν κριτήρια για το χαρακτηρισμό της φοίτησης αυτών ως </w:t>
      </w:r>
      <w:r>
        <w:rPr>
          <w:b/>
          <w:bCs/>
        </w:rPr>
        <w:t>Επαρκούς ή Ανεπαρκούς</w:t>
      </w:r>
      <w:r>
        <w:t>, με βάση το γενικό σύνολο ωριαίων απουσιών, που σημειώθηκαν κατά τη διάρκεια του διδακτικού έτους, σε συνδυασμό και με την, μέχρι την ημέρα χαρακτηρισμού της, ετήσια προφορική επίδοση σε όλα τα μαθήματα.</w:t>
      </w:r>
    </w:p>
    <w:p w:rsidR="00B7454B" w:rsidRDefault="00B7454B" w:rsidP="00B7454B">
      <w:r w:rsidRPr="00C420F4">
        <w:rPr>
          <w:b/>
          <w:bCs/>
          <w:sz w:val="28"/>
          <w:szCs w:val="28"/>
        </w:rPr>
        <w:t>Ε</w:t>
      </w:r>
      <w:r w:rsidR="00EF359A" w:rsidRPr="00C420F4">
        <w:rPr>
          <w:b/>
          <w:bCs/>
          <w:sz w:val="28"/>
          <w:szCs w:val="28"/>
        </w:rPr>
        <w:t>ΠΑΡΚΗΣ,</w:t>
      </w:r>
      <w:r w:rsidR="00EF359A">
        <w:rPr>
          <w:b/>
          <w:bCs/>
        </w:rPr>
        <w:t xml:space="preserve"> </w:t>
      </w:r>
      <w:r>
        <w:t xml:space="preserve"> χαρακτηρίζεται η φοίτηση του μαθητή εφόσον :</w:t>
      </w:r>
    </w:p>
    <w:p w:rsidR="00B7454B" w:rsidRDefault="00B7454B" w:rsidP="00B7454B">
      <w:pPr>
        <w:rPr>
          <w:u w:val="single"/>
        </w:rPr>
      </w:pPr>
      <w:r>
        <w:t xml:space="preserve">Α) Το σύνολο των απουσιών του μαθητή που σημειώθηκαν κατά το οικείο διδακτικό έτος, ανεξάρτητα από το λόγο στον οποίο οφείλονται, </w:t>
      </w:r>
      <w:r>
        <w:rPr>
          <w:u w:val="single"/>
        </w:rPr>
        <w:t xml:space="preserve">δεν υπερβαίνει τις </w:t>
      </w:r>
      <w:r w:rsidRPr="00EF359A">
        <w:rPr>
          <w:b/>
          <w:u w:val="single"/>
        </w:rPr>
        <w:t>πενήντα (50).</w:t>
      </w:r>
    </w:p>
    <w:p w:rsidR="00B7454B" w:rsidRDefault="00B7454B" w:rsidP="00B7454B">
      <w:r>
        <w:t xml:space="preserve">Β) Το σύνολο των απουσιών του μαθητή </w:t>
      </w:r>
      <w:r w:rsidRPr="00EF359A">
        <w:t xml:space="preserve">δεν υπερβαίνει τις </w:t>
      </w:r>
      <w:r w:rsidRPr="00EF359A">
        <w:rPr>
          <w:b/>
          <w:u w:val="single"/>
        </w:rPr>
        <w:t>εκατόν δέκα τέσσερις</w:t>
      </w:r>
      <w:r>
        <w:rPr>
          <w:u w:val="single"/>
        </w:rPr>
        <w:t xml:space="preserve"> </w:t>
      </w:r>
      <w:r w:rsidRPr="00EF359A">
        <w:rPr>
          <w:b/>
          <w:u w:val="single"/>
        </w:rPr>
        <w:t>(114)</w:t>
      </w:r>
      <w:r>
        <w:t xml:space="preserve"> , υπό την προϋπόθεση ότι οι άνω των πενήντα (50), δηλαδή </w:t>
      </w:r>
      <w:r>
        <w:rPr>
          <w:u w:val="single"/>
        </w:rPr>
        <w:t xml:space="preserve">οι εξήντα τέσσερις (64) είναι δικαιολογημένες </w:t>
      </w:r>
      <w:r>
        <w:t>ή οφείλονται σε ασθένεια.</w:t>
      </w:r>
    </w:p>
    <w:p w:rsidR="00B7454B" w:rsidRDefault="00593933" w:rsidP="00B7454B">
      <w:r>
        <w:lastRenderedPageBreak/>
        <w:t xml:space="preserve">Γ) Κατ’ </w:t>
      </w:r>
      <w:r w:rsidR="00B7454B">
        <w:t>εξαίρεση ο Σύλλογος των Διδασκόντων κάθε ΕΠΑ.Λ. με ειδική πράξη του χαρακτηρίζει επαρκή τη φοίτηση μαθητή</w:t>
      </w:r>
      <w:r w:rsidR="003A29D4">
        <w:t>,</w:t>
      </w:r>
      <w:r w:rsidR="00B7454B">
        <w:t xml:space="preserve"> που σημείωσε από εκατόν δέκα τέσσερις (114) έως (164) απουσίες, με την προϋπόθεση</w:t>
      </w:r>
      <w:r w:rsidR="003A29D4">
        <w:t>,</w:t>
      </w:r>
      <w:r w:rsidR="00B7454B">
        <w:t xml:space="preserve"> ότι όλες οι άνω των πενήντα (50) απουσίες του είναι δικαιολογημένες ή οφείλονται σε ασθένεια που βεβαιώνεται και η επίδοσή του κρίνεται ιδιαίτερα ικανοποιητική (ο μέσος όρος της προφορικής βαθμολογίας των μαθημάτων είναι τουλάχιστον δέκα πέντε (15) πλήρες και η διαγωγή του </w:t>
      </w:r>
      <w:proofErr w:type="spellStart"/>
      <w:r w:rsidR="00B7454B">
        <w:t>κοσμιότατη</w:t>
      </w:r>
      <w:proofErr w:type="spellEnd"/>
      <w:r w:rsidR="00B7454B">
        <w:t>).</w:t>
      </w:r>
    </w:p>
    <w:p w:rsidR="00EF359A" w:rsidRDefault="00EF359A" w:rsidP="00B7454B">
      <w:r>
        <w:rPr>
          <w:b/>
          <w:bCs/>
        </w:rPr>
        <w:t>ΑΝΕΠΑΡΚΗΣ,</w:t>
      </w:r>
      <w:r w:rsidR="00B7454B">
        <w:rPr>
          <w:b/>
          <w:bCs/>
        </w:rPr>
        <w:t xml:space="preserve">  </w:t>
      </w:r>
      <w:r w:rsidR="00B7454B">
        <w:t>χαρακτηρίζεται η φοίτηση του μαθητή</w:t>
      </w:r>
      <w:r w:rsidR="003A29D4">
        <w:t>,</w:t>
      </w:r>
      <w:r w:rsidR="00B7454B">
        <w:t xml:space="preserve"> που σημείωσε </w:t>
      </w:r>
      <w:r w:rsidR="00B7454B" w:rsidRPr="00EF359A">
        <w:rPr>
          <w:b/>
        </w:rPr>
        <w:t>πάνω από πενήντα (50)</w:t>
      </w:r>
      <w:r w:rsidR="00B7454B">
        <w:t xml:space="preserve"> απουσίες και δεν εμπίπτει σε καμία από τις περιπτώσεις που προαναφέρθηκαν. Οι μαθητές των οποίων η φοίτηση χαρακτηρίζεται ανεπαρκής είναι υποχρεωμένοι να επαναλάβουν τη φοίτηση στην ίδια τάξη.</w:t>
      </w:r>
    </w:p>
    <w:p w:rsidR="00B7454B" w:rsidRPr="000F7770" w:rsidRDefault="00EF359A" w:rsidP="00B7454B">
      <w:pPr>
        <w:rPr>
          <w:b/>
          <w:bCs/>
          <w:color w:val="008000"/>
          <w:sz w:val="28"/>
          <w:szCs w:val="28"/>
          <w:u w:val="single"/>
        </w:rPr>
      </w:pPr>
      <w:r w:rsidRPr="000F7770">
        <w:rPr>
          <w:b/>
          <w:color w:val="008000"/>
          <w:sz w:val="28"/>
          <w:szCs w:val="28"/>
          <w:u w:val="single"/>
        </w:rPr>
        <w:t xml:space="preserve">2. </w:t>
      </w:r>
      <w:r w:rsidRPr="000F7770">
        <w:rPr>
          <w:b/>
          <w:bCs/>
          <w:color w:val="008000"/>
          <w:sz w:val="28"/>
          <w:szCs w:val="28"/>
          <w:u w:val="single"/>
        </w:rPr>
        <w:t>ΔΙΑΔΙΚΑΣΙΑ ΔΙΚΑΙΟΛΟΓΗΣΗΣ ΑΠΟΥΣΙΩΝ :</w:t>
      </w:r>
    </w:p>
    <w:p w:rsidR="00B7454B" w:rsidRDefault="00B7454B" w:rsidP="00B7454B">
      <w:r>
        <w:tab/>
        <w:t xml:space="preserve">Ο </w:t>
      </w:r>
      <w:r w:rsidR="00EF359A">
        <w:t xml:space="preserve">γονέας ή </w:t>
      </w:r>
      <w:r>
        <w:t xml:space="preserve">κηδεμόνας κάθε μαθητή που απουσίασε λόγω ασθένειας είναι υποχρεωμένος να προσκομίσει ο ίδιος στη γραμματεία του σχολείου, το </w:t>
      </w:r>
      <w:r w:rsidRPr="00BE2F71">
        <w:rPr>
          <w:b/>
          <w:color w:val="006600"/>
        </w:rPr>
        <w:t>βραδύτερο</w:t>
      </w:r>
      <w:r>
        <w:t xml:space="preserve"> μέχρι και τη </w:t>
      </w:r>
      <w:r>
        <w:rPr>
          <w:b/>
          <w:bCs/>
        </w:rPr>
        <w:t>δέκατη ημέρα (10</w:t>
      </w:r>
      <w:r>
        <w:rPr>
          <w:b/>
          <w:bCs/>
          <w:vertAlign w:val="superscript"/>
        </w:rPr>
        <w:t>η</w:t>
      </w:r>
      <w:r>
        <w:rPr>
          <w:b/>
          <w:bCs/>
        </w:rPr>
        <w:t xml:space="preserve">) </w:t>
      </w:r>
      <w:r>
        <w:t>από την επιστροφή του μαθητή στο σχολείο, βεβαίωση ιατρού ή νοσηλευτικού ιδρύματος που να πιστοποιεί το είδος και τη διάρκεια της ασθένειας. Η βεβαίωση αυτή μπορεί να χρησιμεύσει ως δικαιολογητικό για τις αντίστοιχες απουσίες</w:t>
      </w:r>
      <w:r w:rsidR="00EF359A">
        <w:t xml:space="preserve"> και καταχωρίζεται στο πρωτόκολλο του σχολείου</w:t>
      </w:r>
      <w:r>
        <w:t>.</w:t>
      </w:r>
      <w:r w:rsidR="00EF359A">
        <w:t xml:space="preserve"> </w:t>
      </w:r>
      <w:r>
        <w:t xml:space="preserve">Μετά την ανωτέρω προθεσμία κανένα δικαιολογητικό υποβαλλόμενο εκπρόθεσμα δε γίνεται δεκτό. </w:t>
      </w:r>
      <w:r>
        <w:rPr>
          <w:b/>
          <w:bCs/>
        </w:rPr>
        <w:t>Κάθε βεβαίωση υποβάλλεται με αίτηση.</w:t>
      </w:r>
      <w:r>
        <w:tab/>
      </w:r>
    </w:p>
    <w:p w:rsidR="00B7454B" w:rsidRDefault="00B7454B" w:rsidP="00B7454B">
      <w:r>
        <w:tab/>
        <w:t>Για τη δικαιολόγηση απουσιών λόγω ασθένειας ή άλλων σοβαρών οικογενειακών λόγων αρκεί και ενυπόγραφο σημείωμα του κηδεμόνα (χωρίς βεβαίωση ιατρού). Με τον τρόπο αυτό ο κηδεμόνας  μπορεί να δικαιολογήσει απουσίες το πολύ 10 ημερών αθροιστικά για όλο το έτος.</w:t>
      </w:r>
    </w:p>
    <w:p w:rsidR="00B7454B" w:rsidRDefault="00B7454B" w:rsidP="00B7454B">
      <w:r>
        <w:tab/>
        <w:t>Σε καμία περίπτωση δε θεωρούνται δικαιολογημένες (και δεν μπορούν να δικαιολογηθούν) απουσίες μαθητών</w:t>
      </w:r>
      <w:r w:rsidR="003A29D4">
        <w:t>,</w:t>
      </w:r>
      <w:r>
        <w:t xml:space="preserve"> όταν πραγματοποιούνται χωρίς την άδεια του Διευθυντή σε ώρες του ημερήσιου προγράμματος, μεμονωμένες ή συνεχείς.</w:t>
      </w:r>
    </w:p>
    <w:p w:rsidR="00B7454B" w:rsidRDefault="00B7454B" w:rsidP="00B7454B">
      <w:r>
        <w:tab/>
        <w:t>Οι μαθητές που έχουν συμπληρώσει το 18</w:t>
      </w:r>
      <w:r>
        <w:rPr>
          <w:vertAlign w:val="superscript"/>
        </w:rPr>
        <w:t>ο</w:t>
      </w:r>
      <w:r>
        <w:t xml:space="preserve"> έτος της ηλικίας τους εκπληρώνουν προσωπικά την υποχρέωση για δικαιολόγηση των απουσιών τους.</w:t>
      </w:r>
    </w:p>
    <w:p w:rsidR="00B7454B" w:rsidRDefault="00B7454B" w:rsidP="00B7454B">
      <w:r>
        <w:tab/>
        <w:t xml:space="preserve">Για την τακτική παρακολούθηση της φοίτησης του μαθητή </w:t>
      </w:r>
      <w:r w:rsidRPr="001867DE">
        <w:rPr>
          <w:u w:val="single"/>
        </w:rPr>
        <w:t>ευθύνεται εξ ολοκλήρου ο κηδεμόνας του.</w:t>
      </w:r>
      <w:r>
        <w:t xml:space="preserve"> Ο κηδεμόνας κάθε μαθητή οφείλει να προσέρχεται κάθε μήνα κατά τις ώρες λειτουργίας του σχολείου για να ενημερώνεται υπεύθυνα για τη φοίτηση, τη συμπεριφ</w:t>
      </w:r>
      <w:r w:rsidR="0052277C">
        <w:t>ορά και την επίδοση του μαθητή.</w:t>
      </w:r>
      <w:r>
        <w:t xml:space="preserve"> Σε περίπτωση αδυναμίας προσέλευσης του κηδεμόνα στο σχολείο η ενημέρωση μπορεί να γίνεται από τη Γραμματεία του Σχολείου στο </w:t>
      </w:r>
      <w:proofErr w:type="spellStart"/>
      <w:r>
        <w:t>τηλ</w:t>
      </w:r>
      <w:proofErr w:type="spellEnd"/>
      <w:r>
        <w:t>. 25510-26343.</w:t>
      </w:r>
    </w:p>
    <w:p w:rsidR="00B7454B" w:rsidRPr="000F7770" w:rsidRDefault="00822729" w:rsidP="00B7454B">
      <w:pPr>
        <w:rPr>
          <w:b/>
          <w:bCs/>
          <w:color w:val="004A82"/>
          <w:sz w:val="28"/>
          <w:szCs w:val="28"/>
          <w:u w:val="single"/>
        </w:rPr>
      </w:pPr>
      <w:r w:rsidRPr="000F7770">
        <w:rPr>
          <w:b/>
          <w:bCs/>
          <w:color w:val="004A82"/>
          <w:sz w:val="28"/>
          <w:szCs w:val="28"/>
          <w:u w:val="single"/>
        </w:rPr>
        <w:t>3. ΑΛΛΑ ΘΕΜΑΤΑ :</w:t>
      </w:r>
    </w:p>
    <w:p w:rsidR="00B7454B" w:rsidRDefault="00B7454B" w:rsidP="00B7454B">
      <w:r>
        <w:tab/>
        <w:t xml:space="preserve">1) </w:t>
      </w:r>
      <w:r w:rsidR="00CC4CAF">
        <w:t xml:space="preserve">Για την </w:t>
      </w:r>
      <w:r w:rsidR="00CC4CAF" w:rsidRPr="00CC4CAF">
        <w:rPr>
          <w:b/>
        </w:rPr>
        <w:t>ασφάλεια των μαθητών</w:t>
      </w:r>
      <w:r w:rsidR="00CC4CAF">
        <w:t>, ο</w:t>
      </w:r>
      <w:r>
        <w:t>ι Διευθυντές των σχολικών μονάδων Δευτεροβάθμιας Εκπαίδευσης,</w:t>
      </w:r>
      <w:r w:rsidR="00CC4CAF">
        <w:t xml:space="preserve"> σύμφωνα με το έγγραφο 2368/Γ2/0</w:t>
      </w:r>
      <w:r>
        <w:t xml:space="preserve">9-1-07 του Υπουργείου Εθνικής Παιδείας &amp; Θρησκευμάτων, υποχρεούνται να φροντίζουν, ώστε οι </w:t>
      </w:r>
      <w:r w:rsidRPr="00CC4CAF">
        <w:rPr>
          <w:u w:val="single"/>
        </w:rPr>
        <w:t xml:space="preserve">θύρες εισόδου – εξόδου στο χώρο του </w:t>
      </w:r>
      <w:r w:rsidRPr="00CC4CAF">
        <w:rPr>
          <w:u w:val="single"/>
        </w:rPr>
        <w:lastRenderedPageBreak/>
        <w:t>σχολείου να παραμένουν κλειστές</w:t>
      </w:r>
      <w:r>
        <w:t xml:space="preserve"> καθ</w:t>
      </w:r>
      <w:r w:rsidR="00593933">
        <w:t xml:space="preserve">’ </w:t>
      </w:r>
      <w:r>
        <w:t>όλη τη διάρκεια λειτουργίας του σχολείου, προκειμένου να διαφυλάσσεται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σχολείου.</w:t>
      </w:r>
    </w:p>
    <w:p w:rsidR="0052277C" w:rsidRPr="0048586C" w:rsidRDefault="0052277C" w:rsidP="00B7454B">
      <w:r>
        <w:tab/>
        <w:t xml:space="preserve">2)  </w:t>
      </w:r>
      <w:r w:rsidR="0048586C">
        <w:t xml:space="preserve">Η </w:t>
      </w:r>
      <w:r w:rsidR="0048586C" w:rsidRPr="0048586C">
        <w:rPr>
          <w:b/>
        </w:rPr>
        <w:t xml:space="preserve">συμπεριφορά </w:t>
      </w:r>
      <w:r w:rsidR="0048586C">
        <w:t xml:space="preserve">των μαθητών  διέπεται από το Π.Δ. 104/79/ πργ.3, άρθ.26. Αποκλίσεις των μαθητών από τη δημοκρατική συμπεριφορά, τους κανόνες του σχολείου, </w:t>
      </w:r>
      <w:r w:rsidR="00896A8C">
        <w:t xml:space="preserve">τον οφειλόμενο σεβασμό στους εκπαιδευτικούς, τους συμμαθητές τους και τη σχολική περιουσία αποτελεί αντικείμενο παιδαγωγικού ελέγχου και σε κάθε περίπτωση αντιμετωπίζεται  από το σχολείο με γνώμονα αρχικά τον προβληματισμό του μαθητή γύρω από το παράπτωμά </w:t>
      </w:r>
      <w:r w:rsidR="001867DE">
        <w:t>του</w:t>
      </w:r>
      <w:r w:rsidR="00896A8C">
        <w:t xml:space="preserve"> και ακολούθως σύμφωνα  με τις σχολικές κυρώσεις που προβλέπει το παρ</w:t>
      </w:r>
      <w:r w:rsidR="001867DE">
        <w:t>απάνω</w:t>
      </w:r>
      <w:r w:rsidR="00896A8C">
        <w:t xml:space="preserve"> διάταγμα.</w:t>
      </w:r>
    </w:p>
    <w:p w:rsidR="00B7454B" w:rsidRDefault="0052277C" w:rsidP="00B7454B">
      <w:r>
        <w:tab/>
        <w:t>3</w:t>
      </w:r>
      <w:r w:rsidR="00B7454B">
        <w:t xml:space="preserve">) </w:t>
      </w:r>
      <w:r w:rsidR="00CC4CAF">
        <w:t xml:space="preserve">Το </w:t>
      </w:r>
      <w:r w:rsidR="00CC4CAF" w:rsidRPr="00CC4CAF">
        <w:rPr>
          <w:b/>
        </w:rPr>
        <w:t>κάπνισμα</w:t>
      </w:r>
      <w:r w:rsidR="00CC4CAF">
        <w:t xml:space="preserve"> απαγορεύεται </w:t>
      </w:r>
      <w:r w:rsidR="00B7454B">
        <w:t>σε όλα τα σχολεία Δευτεροβάθμιας Εκπαίδευση σύμφωνα με το έγγραφο Υ1/Γ.Π./17/1-8-02 του Υπουργείου Υγείας και Πρόνοιας</w:t>
      </w:r>
      <w:r w:rsidR="00C52203">
        <w:t xml:space="preserve"> και το Ν.3868/2010</w:t>
      </w:r>
      <w:r w:rsidR="00B7454B">
        <w:t>.</w:t>
      </w:r>
    </w:p>
    <w:p w:rsidR="00B7454B" w:rsidRDefault="0052277C" w:rsidP="00B7454B">
      <w:r>
        <w:tab/>
        <w:t>4</w:t>
      </w:r>
      <w:r w:rsidR="00B7454B">
        <w:t xml:space="preserve">) Τέλος, απαγορεύεται </w:t>
      </w:r>
      <w:r w:rsidR="00B7454B" w:rsidRPr="00CC4CAF">
        <w:rPr>
          <w:b/>
        </w:rPr>
        <w:t>η χρήση κινητών τηλεφώνων</w:t>
      </w:r>
      <w:r w:rsidR="00B7454B">
        <w:t xml:space="preserve"> από μαθητές στο χώρο του σχολείου, σύμφωνα με το έγγραφο 132328/Γ2/ 7-12-06 του Υπουργείου </w:t>
      </w:r>
      <w:r>
        <w:t>Εθνικής Παιδείας &amp; Θρησκευμάτων, γιατί δε συμβάλλει στη δημιουργία ήρεμου παιδαγωγικού κλίματος, αποσπά την προσοχή των μαθητών και βλάπτει σοβαρά την υγεία τους. Η επικοινωνία των μαθητών μπορεί να καλυφθεί επαρκώς με το τηλέφωνο που διαθέτει το σχολείο στο χώρο της Γραμματείας.</w:t>
      </w:r>
    </w:p>
    <w:p w:rsidR="001867DE" w:rsidRDefault="001867DE" w:rsidP="00B7454B">
      <w:r>
        <w:tab/>
        <w:t xml:space="preserve">5) Οι </w:t>
      </w:r>
      <w:r w:rsidRPr="001867DE">
        <w:rPr>
          <w:b/>
        </w:rPr>
        <w:t>ενημερωτικές συναντήσεις γονέων και εκπαιδευτικών</w:t>
      </w:r>
      <w:r>
        <w:rPr>
          <w:b/>
        </w:rPr>
        <w:t xml:space="preserve">, </w:t>
      </w:r>
      <w:r>
        <w:t xml:space="preserve">οι ημέρες δηλαδή και οι ώρες που οι εκπαιδευτικοί θα δέχονται τους γονείς και κηδεμόνες για την ατομική ενημέρωσή τους γύρω από τις επιδόσεις του μαθητή, </w:t>
      </w:r>
      <w:r w:rsidR="00593933">
        <w:t>φαίνονται στον πίνακα της επόμενης σελίδας</w:t>
      </w:r>
      <w:r>
        <w:t>.</w:t>
      </w:r>
    </w:p>
    <w:p w:rsidR="000F7770" w:rsidRPr="001867DE" w:rsidRDefault="000F7770" w:rsidP="00B7454B"/>
    <w:p w:rsidR="00E46520" w:rsidRPr="006730A0" w:rsidRDefault="00E46520" w:rsidP="00C420F4">
      <w:pPr>
        <w:jc w:val="center"/>
        <w:rPr>
          <w:b/>
          <w:sz w:val="36"/>
          <w:szCs w:val="36"/>
        </w:rPr>
      </w:pPr>
      <w:r w:rsidRPr="006730A0">
        <w:rPr>
          <w:b/>
          <w:sz w:val="36"/>
          <w:szCs w:val="36"/>
        </w:rPr>
        <w:t>ΩΡΑΡΙΟ ΛΕΙΤΟΥΡΓΙΑΣ</w:t>
      </w:r>
    </w:p>
    <w:tbl>
      <w:tblPr>
        <w:tblStyle w:val="a3"/>
        <w:tblW w:w="0" w:type="auto"/>
        <w:jc w:val="center"/>
        <w:tblLook w:val="01E0"/>
      </w:tblPr>
      <w:tblGrid>
        <w:gridCol w:w="948"/>
        <w:gridCol w:w="2640"/>
        <w:gridCol w:w="2520"/>
        <w:gridCol w:w="3406"/>
      </w:tblGrid>
      <w:tr w:rsidR="00E46520" w:rsidTr="00E46520">
        <w:trPr>
          <w:trHeight w:val="429"/>
          <w:jc w:val="center"/>
        </w:trPr>
        <w:tc>
          <w:tcPr>
            <w:tcW w:w="948" w:type="dxa"/>
            <w:vAlign w:val="center"/>
          </w:tcPr>
          <w:p w:rsidR="00E46520" w:rsidRPr="00E46520" w:rsidRDefault="00E46520" w:rsidP="00E46520">
            <w:pPr>
              <w:jc w:val="center"/>
              <w:rPr>
                <w:b/>
              </w:rPr>
            </w:pPr>
            <w:r w:rsidRPr="00E46520">
              <w:rPr>
                <w:b/>
              </w:rPr>
              <w:t>ΩΡΑ</w:t>
            </w:r>
          </w:p>
        </w:tc>
        <w:tc>
          <w:tcPr>
            <w:tcW w:w="2640" w:type="dxa"/>
            <w:vAlign w:val="center"/>
          </w:tcPr>
          <w:p w:rsidR="00E46520" w:rsidRPr="00E46520" w:rsidRDefault="00E46520" w:rsidP="00E46520">
            <w:pPr>
              <w:jc w:val="center"/>
              <w:rPr>
                <w:b/>
              </w:rPr>
            </w:pPr>
            <w:r w:rsidRPr="00E46520">
              <w:rPr>
                <w:b/>
              </w:rPr>
              <w:t>ΕΝΑΡΞΗ</w:t>
            </w:r>
          </w:p>
        </w:tc>
        <w:tc>
          <w:tcPr>
            <w:tcW w:w="2520" w:type="dxa"/>
            <w:vAlign w:val="center"/>
          </w:tcPr>
          <w:p w:rsidR="00E46520" w:rsidRPr="00E46520" w:rsidRDefault="00E46520" w:rsidP="00E46520">
            <w:pPr>
              <w:jc w:val="center"/>
              <w:rPr>
                <w:b/>
              </w:rPr>
            </w:pPr>
            <w:r w:rsidRPr="00E46520">
              <w:rPr>
                <w:b/>
              </w:rPr>
              <w:t>ΛΗΞΗ</w:t>
            </w:r>
          </w:p>
        </w:tc>
        <w:tc>
          <w:tcPr>
            <w:tcW w:w="3406" w:type="dxa"/>
            <w:vAlign w:val="center"/>
          </w:tcPr>
          <w:p w:rsidR="00E46520" w:rsidRPr="00E46520" w:rsidRDefault="00E46520" w:rsidP="00E46520">
            <w:pPr>
              <w:jc w:val="center"/>
              <w:rPr>
                <w:b/>
              </w:rPr>
            </w:pPr>
            <w:r w:rsidRPr="00E46520">
              <w:rPr>
                <w:b/>
              </w:rPr>
              <w:t>ΔΙΑΡΚΕΙΑ ΔΙΑΛΕΙΜΜΑΤΩΝ</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1</w:t>
            </w:r>
            <w:r w:rsidRPr="00E46520">
              <w:rPr>
                <w:b/>
                <w:vertAlign w:val="superscript"/>
              </w:rPr>
              <w:t>η</w:t>
            </w:r>
          </w:p>
        </w:tc>
        <w:tc>
          <w:tcPr>
            <w:tcW w:w="2640" w:type="dxa"/>
            <w:vAlign w:val="center"/>
          </w:tcPr>
          <w:p w:rsidR="00E46520" w:rsidRDefault="00E46520" w:rsidP="00E46520">
            <w:pPr>
              <w:jc w:val="center"/>
            </w:pPr>
            <w:r>
              <w:t>08:20</w:t>
            </w:r>
          </w:p>
        </w:tc>
        <w:tc>
          <w:tcPr>
            <w:tcW w:w="2520" w:type="dxa"/>
            <w:vAlign w:val="center"/>
          </w:tcPr>
          <w:p w:rsidR="00E46520" w:rsidRDefault="00C420F4" w:rsidP="00E46520">
            <w:pPr>
              <w:jc w:val="center"/>
            </w:pPr>
            <w:r>
              <w:t>09:05</w:t>
            </w:r>
          </w:p>
        </w:tc>
        <w:tc>
          <w:tcPr>
            <w:tcW w:w="3406" w:type="dxa"/>
            <w:vAlign w:val="center"/>
          </w:tcPr>
          <w:p w:rsidR="00E46520" w:rsidRDefault="00E46520" w:rsidP="00E46520">
            <w:pPr>
              <w:jc w:val="center"/>
            </w:pPr>
            <w:r>
              <w:t>12΄</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2</w:t>
            </w:r>
            <w:r w:rsidRPr="00E46520">
              <w:rPr>
                <w:b/>
                <w:vertAlign w:val="superscript"/>
              </w:rPr>
              <w:t>η</w:t>
            </w:r>
          </w:p>
        </w:tc>
        <w:tc>
          <w:tcPr>
            <w:tcW w:w="2640" w:type="dxa"/>
            <w:vAlign w:val="center"/>
          </w:tcPr>
          <w:p w:rsidR="00E46520" w:rsidRDefault="00C420F4" w:rsidP="00E46520">
            <w:pPr>
              <w:jc w:val="center"/>
            </w:pPr>
            <w:r>
              <w:t>09:17</w:t>
            </w:r>
          </w:p>
        </w:tc>
        <w:tc>
          <w:tcPr>
            <w:tcW w:w="2520" w:type="dxa"/>
            <w:vAlign w:val="center"/>
          </w:tcPr>
          <w:p w:rsidR="00E46520" w:rsidRDefault="00E46520" w:rsidP="00E46520">
            <w:pPr>
              <w:jc w:val="center"/>
            </w:pPr>
            <w:r>
              <w:t>10:00</w:t>
            </w:r>
          </w:p>
        </w:tc>
        <w:tc>
          <w:tcPr>
            <w:tcW w:w="3406" w:type="dxa"/>
            <w:vAlign w:val="center"/>
          </w:tcPr>
          <w:p w:rsidR="00E46520" w:rsidRDefault="00E46520" w:rsidP="00E46520">
            <w:pPr>
              <w:jc w:val="center"/>
            </w:pPr>
            <w:r>
              <w:t>10΄</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3</w:t>
            </w:r>
            <w:r w:rsidRPr="00E46520">
              <w:rPr>
                <w:b/>
                <w:vertAlign w:val="superscript"/>
              </w:rPr>
              <w:t>η</w:t>
            </w:r>
          </w:p>
        </w:tc>
        <w:tc>
          <w:tcPr>
            <w:tcW w:w="2640" w:type="dxa"/>
            <w:vAlign w:val="center"/>
          </w:tcPr>
          <w:p w:rsidR="00E46520" w:rsidRDefault="00E46520" w:rsidP="00E46520">
            <w:pPr>
              <w:jc w:val="center"/>
            </w:pPr>
            <w:r>
              <w:t>10:10</w:t>
            </w:r>
          </w:p>
        </w:tc>
        <w:tc>
          <w:tcPr>
            <w:tcW w:w="2520" w:type="dxa"/>
            <w:vAlign w:val="center"/>
          </w:tcPr>
          <w:p w:rsidR="00E46520" w:rsidRDefault="00E46520" w:rsidP="00E46520">
            <w:pPr>
              <w:jc w:val="center"/>
            </w:pPr>
            <w:r>
              <w:t>10:55</w:t>
            </w:r>
          </w:p>
        </w:tc>
        <w:tc>
          <w:tcPr>
            <w:tcW w:w="3406" w:type="dxa"/>
            <w:vAlign w:val="center"/>
          </w:tcPr>
          <w:p w:rsidR="00E46520" w:rsidRDefault="00E46520" w:rsidP="00E46520">
            <w:pPr>
              <w:jc w:val="center"/>
            </w:pPr>
            <w:r>
              <w:t>10΄</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4</w:t>
            </w:r>
            <w:r w:rsidRPr="00E46520">
              <w:rPr>
                <w:b/>
                <w:vertAlign w:val="superscript"/>
              </w:rPr>
              <w:t>η</w:t>
            </w:r>
          </w:p>
        </w:tc>
        <w:tc>
          <w:tcPr>
            <w:tcW w:w="2640" w:type="dxa"/>
            <w:vAlign w:val="center"/>
          </w:tcPr>
          <w:p w:rsidR="00E46520" w:rsidRDefault="00E46520" w:rsidP="00E46520">
            <w:pPr>
              <w:jc w:val="center"/>
            </w:pPr>
            <w:r>
              <w:t>11:05</w:t>
            </w:r>
          </w:p>
        </w:tc>
        <w:tc>
          <w:tcPr>
            <w:tcW w:w="2520" w:type="dxa"/>
            <w:vAlign w:val="center"/>
          </w:tcPr>
          <w:p w:rsidR="00E46520" w:rsidRDefault="00E46520" w:rsidP="00E46520">
            <w:pPr>
              <w:jc w:val="center"/>
            </w:pPr>
            <w:r>
              <w:t>11:50</w:t>
            </w:r>
          </w:p>
        </w:tc>
        <w:tc>
          <w:tcPr>
            <w:tcW w:w="3406" w:type="dxa"/>
            <w:vAlign w:val="center"/>
          </w:tcPr>
          <w:p w:rsidR="00E46520" w:rsidRDefault="00E46520" w:rsidP="00E46520">
            <w:pPr>
              <w:jc w:val="center"/>
            </w:pPr>
            <w:r>
              <w:t>10΄</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5</w:t>
            </w:r>
            <w:r w:rsidRPr="00E46520">
              <w:rPr>
                <w:b/>
                <w:vertAlign w:val="superscript"/>
              </w:rPr>
              <w:t>η</w:t>
            </w:r>
          </w:p>
        </w:tc>
        <w:tc>
          <w:tcPr>
            <w:tcW w:w="2640" w:type="dxa"/>
            <w:vAlign w:val="center"/>
          </w:tcPr>
          <w:p w:rsidR="00E46520" w:rsidRDefault="00E46520" w:rsidP="00E46520">
            <w:pPr>
              <w:jc w:val="center"/>
            </w:pPr>
            <w:r>
              <w:t>11:55</w:t>
            </w:r>
          </w:p>
        </w:tc>
        <w:tc>
          <w:tcPr>
            <w:tcW w:w="2520" w:type="dxa"/>
            <w:vAlign w:val="center"/>
          </w:tcPr>
          <w:p w:rsidR="00E46520" w:rsidRDefault="00E46520" w:rsidP="00E46520">
            <w:pPr>
              <w:jc w:val="center"/>
            </w:pPr>
            <w:r>
              <w:t>12:35</w:t>
            </w:r>
          </w:p>
        </w:tc>
        <w:tc>
          <w:tcPr>
            <w:tcW w:w="3406" w:type="dxa"/>
            <w:vAlign w:val="center"/>
          </w:tcPr>
          <w:p w:rsidR="00E46520" w:rsidRDefault="00E46520" w:rsidP="00E46520">
            <w:pPr>
              <w:jc w:val="center"/>
            </w:pPr>
            <w:r>
              <w:t>5΄</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6</w:t>
            </w:r>
            <w:r w:rsidRPr="00E46520">
              <w:rPr>
                <w:b/>
                <w:vertAlign w:val="superscript"/>
              </w:rPr>
              <w:t>η</w:t>
            </w:r>
          </w:p>
        </w:tc>
        <w:tc>
          <w:tcPr>
            <w:tcW w:w="2640" w:type="dxa"/>
            <w:vAlign w:val="center"/>
          </w:tcPr>
          <w:p w:rsidR="00E46520" w:rsidRDefault="00E46520" w:rsidP="00E46520">
            <w:pPr>
              <w:jc w:val="center"/>
            </w:pPr>
            <w:r>
              <w:t>12:40</w:t>
            </w:r>
          </w:p>
        </w:tc>
        <w:tc>
          <w:tcPr>
            <w:tcW w:w="2520" w:type="dxa"/>
            <w:vAlign w:val="center"/>
          </w:tcPr>
          <w:p w:rsidR="00E46520" w:rsidRDefault="00E46520" w:rsidP="00E46520">
            <w:pPr>
              <w:jc w:val="center"/>
            </w:pPr>
            <w:r>
              <w:t>13:20</w:t>
            </w:r>
          </w:p>
        </w:tc>
        <w:tc>
          <w:tcPr>
            <w:tcW w:w="3406" w:type="dxa"/>
            <w:vAlign w:val="center"/>
          </w:tcPr>
          <w:p w:rsidR="00E46520" w:rsidRDefault="00E46520" w:rsidP="00E46520">
            <w:pPr>
              <w:jc w:val="center"/>
            </w:pPr>
            <w:r>
              <w:t>5</w:t>
            </w:r>
          </w:p>
        </w:tc>
      </w:tr>
      <w:tr w:rsidR="00E46520" w:rsidTr="00E46520">
        <w:trPr>
          <w:trHeight w:val="397"/>
          <w:jc w:val="center"/>
        </w:trPr>
        <w:tc>
          <w:tcPr>
            <w:tcW w:w="948" w:type="dxa"/>
            <w:vAlign w:val="center"/>
          </w:tcPr>
          <w:p w:rsidR="00E46520" w:rsidRPr="00E46520" w:rsidRDefault="00E46520" w:rsidP="00E46520">
            <w:pPr>
              <w:jc w:val="center"/>
              <w:rPr>
                <w:b/>
              </w:rPr>
            </w:pPr>
            <w:r w:rsidRPr="00E46520">
              <w:rPr>
                <w:b/>
              </w:rPr>
              <w:t>7</w:t>
            </w:r>
            <w:r w:rsidRPr="00E46520">
              <w:rPr>
                <w:b/>
                <w:vertAlign w:val="superscript"/>
              </w:rPr>
              <w:t>η</w:t>
            </w:r>
          </w:p>
        </w:tc>
        <w:tc>
          <w:tcPr>
            <w:tcW w:w="2640" w:type="dxa"/>
            <w:vAlign w:val="center"/>
          </w:tcPr>
          <w:p w:rsidR="00E46520" w:rsidRDefault="00E46520" w:rsidP="00E46520">
            <w:pPr>
              <w:jc w:val="center"/>
            </w:pPr>
            <w:r>
              <w:t>13:25</w:t>
            </w:r>
          </w:p>
        </w:tc>
        <w:tc>
          <w:tcPr>
            <w:tcW w:w="2520" w:type="dxa"/>
            <w:vAlign w:val="center"/>
          </w:tcPr>
          <w:p w:rsidR="00E46520" w:rsidRDefault="00E46520" w:rsidP="00E46520">
            <w:pPr>
              <w:jc w:val="center"/>
            </w:pPr>
            <w:r>
              <w:t>14:05</w:t>
            </w:r>
          </w:p>
        </w:tc>
        <w:tc>
          <w:tcPr>
            <w:tcW w:w="3406" w:type="dxa"/>
            <w:vAlign w:val="center"/>
          </w:tcPr>
          <w:p w:rsidR="00E46520" w:rsidRDefault="00E46520" w:rsidP="00E46520">
            <w:pPr>
              <w:jc w:val="center"/>
            </w:pPr>
          </w:p>
        </w:tc>
      </w:tr>
    </w:tbl>
    <w:p w:rsidR="00E46520" w:rsidRDefault="00E46520" w:rsidP="00B7454B"/>
    <w:p w:rsidR="00B7454B" w:rsidRDefault="00B7454B" w:rsidP="00E46520">
      <w:pPr>
        <w:jc w:val="center"/>
      </w:pPr>
      <w:r>
        <w:t>Ο  Διευθυντής</w:t>
      </w:r>
    </w:p>
    <w:p w:rsidR="00B7454B" w:rsidRDefault="00B7454B" w:rsidP="00E46520">
      <w:pPr>
        <w:jc w:val="center"/>
      </w:pPr>
    </w:p>
    <w:p w:rsidR="00B7454B" w:rsidRDefault="00A96A20" w:rsidP="00E46520">
      <w:pPr>
        <w:jc w:val="center"/>
      </w:pPr>
      <w:proofErr w:type="spellStart"/>
      <w:r>
        <w:t>Ακίδης</w:t>
      </w:r>
      <w:proofErr w:type="spellEnd"/>
      <w:r>
        <w:t xml:space="preserve"> Ηλίας</w:t>
      </w:r>
    </w:p>
    <w:sectPr w:rsidR="00B7454B" w:rsidSect="00C420F4">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7454B"/>
    <w:rsid w:val="000F7770"/>
    <w:rsid w:val="001867DE"/>
    <w:rsid w:val="00342105"/>
    <w:rsid w:val="0035460B"/>
    <w:rsid w:val="003A29D4"/>
    <w:rsid w:val="0048586C"/>
    <w:rsid w:val="00513F16"/>
    <w:rsid w:val="0052277C"/>
    <w:rsid w:val="00571B50"/>
    <w:rsid w:val="00593933"/>
    <w:rsid w:val="00610645"/>
    <w:rsid w:val="00724858"/>
    <w:rsid w:val="007D5CEC"/>
    <w:rsid w:val="00804FEF"/>
    <w:rsid w:val="00822729"/>
    <w:rsid w:val="00876850"/>
    <w:rsid w:val="00896A8C"/>
    <w:rsid w:val="00A4643A"/>
    <w:rsid w:val="00A96A20"/>
    <w:rsid w:val="00B668A0"/>
    <w:rsid w:val="00B7454B"/>
    <w:rsid w:val="00BE2F71"/>
    <w:rsid w:val="00C420F4"/>
    <w:rsid w:val="00C52203"/>
    <w:rsid w:val="00CC4CAF"/>
    <w:rsid w:val="00E46520"/>
    <w:rsid w:val="00EB7ACC"/>
    <w:rsid w:val="00EF35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5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6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1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44BB-E3C6-419F-AC1A-15B7C27F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1061</Words>
  <Characters>5732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2o ΕΠΑ</vt:lpstr>
    </vt:vector>
  </TitlesOfParts>
  <Company>..</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2o ΕΠΑ</dc:title>
  <dc:subject/>
  <dc:creator>FlandPc</dc:creator>
  <cp:keywords/>
  <cp:lastModifiedBy>2o EPAL</cp:lastModifiedBy>
  <cp:revision>2</cp:revision>
  <cp:lastPrinted>2009-10-08T06:47:00Z</cp:lastPrinted>
  <dcterms:created xsi:type="dcterms:W3CDTF">2014-09-18T06:37:00Z</dcterms:created>
  <dcterms:modified xsi:type="dcterms:W3CDTF">2014-09-18T06:37:00Z</dcterms:modified>
</cp:coreProperties>
</file>